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5CD" w:rsidRDefault="00521BEE" w:rsidP="00E01DCD">
      <w:pPr>
        <w:spacing w:after="0" w:line="480" w:lineRule="auto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Figure 2</w:t>
      </w:r>
      <w:r w:rsidR="003A07B0" w:rsidRPr="003A07B0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.</w:t>
      </w:r>
    </w:p>
    <w:p w:rsidR="00823823" w:rsidRPr="00E01DCD" w:rsidRDefault="00823823" w:rsidP="00E01DCD">
      <w:pPr>
        <w:spacing w:after="0" w:line="480" w:lineRule="auto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bookmarkStart w:id="0" w:name="_GoBack"/>
      <w:bookmarkEnd w:id="0"/>
    </w:p>
    <w:p w:rsidR="000775CD" w:rsidRPr="009D291D" w:rsidRDefault="000775C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5E68B39E" wp14:editId="5F7DEC46">
            <wp:extent cx="2819400" cy="235267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0775CD" w:rsidRPr="009D2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3BB"/>
    <w:rsid w:val="000775CD"/>
    <w:rsid w:val="00094D82"/>
    <w:rsid w:val="003A07B0"/>
    <w:rsid w:val="004A0156"/>
    <w:rsid w:val="00521BEE"/>
    <w:rsid w:val="00542263"/>
    <w:rsid w:val="005A57BC"/>
    <w:rsid w:val="005B754F"/>
    <w:rsid w:val="005E0415"/>
    <w:rsid w:val="00807765"/>
    <w:rsid w:val="00823823"/>
    <w:rsid w:val="00832497"/>
    <w:rsid w:val="008450DB"/>
    <w:rsid w:val="009A0E21"/>
    <w:rsid w:val="009C0989"/>
    <w:rsid w:val="009D291D"/>
    <w:rsid w:val="00A51421"/>
    <w:rsid w:val="00A87E0E"/>
    <w:rsid w:val="00B20085"/>
    <w:rsid w:val="00B415A4"/>
    <w:rsid w:val="00BE53C2"/>
    <w:rsid w:val="00C054D7"/>
    <w:rsid w:val="00C06AB9"/>
    <w:rsid w:val="00C653BB"/>
    <w:rsid w:val="00CD2981"/>
    <w:rsid w:val="00E01DCD"/>
    <w:rsid w:val="00E74F1B"/>
    <w:rsid w:val="00FD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4195183372348728"/>
          <c:y val="2.9198968154731733E-2"/>
          <c:w val="0.70249627580336238"/>
          <c:h val="0.73016209883635785"/>
        </c:manualLayout>
      </c:layout>
      <c:scatterChart>
        <c:scatterStyle val="lineMarker"/>
        <c:varyColors val="0"/>
        <c:ser>
          <c:idx val="0"/>
          <c:order val="0"/>
          <c:tx>
            <c:strRef>
              <c:f>киселинност!$G$15</c:f>
              <c:strCache>
                <c:ptCount val="1"/>
                <c:pt idx="0">
                  <c:v>Mo(VI) – 3,5-DNC –  TTC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xVal>
            <c:numRef>
              <c:f>киселинност!$F$16:$F$28</c:f>
              <c:numCache>
                <c:formatCode>General</c:formatCode>
                <c:ptCount val="13"/>
                <c:pt idx="0">
                  <c:v>8.9999999999999993E-3</c:v>
                </c:pt>
                <c:pt idx="1">
                  <c:v>1.7999999999999999E-2</c:v>
                </c:pt>
                <c:pt idx="2">
                  <c:v>4.4999999999999998E-2</c:v>
                </c:pt>
                <c:pt idx="3">
                  <c:v>0.09</c:v>
                </c:pt>
                <c:pt idx="4">
                  <c:v>0.18</c:v>
                </c:pt>
                <c:pt idx="5">
                  <c:v>0.26999999999999996</c:v>
                </c:pt>
                <c:pt idx="6">
                  <c:v>0.36</c:v>
                </c:pt>
                <c:pt idx="7">
                  <c:v>0.45</c:v>
                </c:pt>
                <c:pt idx="8">
                  <c:v>0.53999999999999992</c:v>
                </c:pt>
                <c:pt idx="9">
                  <c:v>0.63</c:v>
                </c:pt>
                <c:pt idx="10">
                  <c:v>0.72</c:v>
                </c:pt>
                <c:pt idx="11">
                  <c:v>0.9</c:v>
                </c:pt>
                <c:pt idx="12">
                  <c:v>1.0799999999999998</c:v>
                </c:pt>
              </c:numCache>
            </c:numRef>
          </c:xVal>
          <c:yVal>
            <c:numRef>
              <c:f>киселинност!$G$16:$G$28</c:f>
              <c:numCache>
                <c:formatCode>General</c:formatCode>
                <c:ptCount val="13"/>
                <c:pt idx="0">
                  <c:v>0.129</c:v>
                </c:pt>
                <c:pt idx="1">
                  <c:v>0.28100000000000003</c:v>
                </c:pt>
                <c:pt idx="2">
                  <c:v>0.32100000000000001</c:v>
                </c:pt>
                <c:pt idx="3">
                  <c:v>0.34499999999999997</c:v>
                </c:pt>
                <c:pt idx="4">
                  <c:v>0.35399999999999998</c:v>
                </c:pt>
                <c:pt idx="5">
                  <c:v>0.34899999999999998</c:v>
                </c:pt>
                <c:pt idx="6">
                  <c:v>0.35</c:v>
                </c:pt>
                <c:pt idx="7">
                  <c:v>0.35099999999999998</c:v>
                </c:pt>
                <c:pt idx="8">
                  <c:v>0.35199999999999998</c:v>
                </c:pt>
                <c:pt idx="9">
                  <c:v>0.35</c:v>
                </c:pt>
                <c:pt idx="10">
                  <c:v>0.35</c:v>
                </c:pt>
                <c:pt idx="11">
                  <c:v>0.28299999999999997</c:v>
                </c:pt>
                <c:pt idx="12">
                  <c:v>0.184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киселинност!$H$15</c:f>
              <c:strCache>
                <c:ptCount val="1"/>
                <c:pt idx="0">
                  <c:v>3,5-DNC – TTC</c:v>
                </c:pt>
              </c:strCache>
            </c:strRef>
          </c:tx>
          <c:spPr>
            <a:ln w="12700">
              <a:solidFill>
                <a:schemeClr val="tx1"/>
              </a:solidFill>
              <a:prstDash val="dash"/>
            </a:ln>
          </c:spPr>
          <c:marker>
            <c:symbol val="diamond"/>
            <c:size val="6"/>
            <c:spPr>
              <a:solidFill>
                <a:schemeClr val="tx1"/>
              </a:solidFill>
              <a:ln w="12700">
                <a:noFill/>
                <a:prstDash val="dash"/>
              </a:ln>
            </c:spPr>
          </c:marker>
          <c:xVal>
            <c:numRef>
              <c:f>киселинност!$F$16:$F$28</c:f>
              <c:numCache>
                <c:formatCode>General</c:formatCode>
                <c:ptCount val="13"/>
                <c:pt idx="0">
                  <c:v>8.9999999999999993E-3</c:v>
                </c:pt>
                <c:pt idx="1">
                  <c:v>1.7999999999999999E-2</c:v>
                </c:pt>
                <c:pt idx="2">
                  <c:v>4.4999999999999998E-2</c:v>
                </c:pt>
                <c:pt idx="3">
                  <c:v>0.09</c:v>
                </c:pt>
                <c:pt idx="4">
                  <c:v>0.18</c:v>
                </c:pt>
                <c:pt idx="5">
                  <c:v>0.26999999999999996</c:v>
                </c:pt>
                <c:pt idx="6">
                  <c:v>0.36</c:v>
                </c:pt>
                <c:pt idx="7">
                  <c:v>0.45</c:v>
                </c:pt>
                <c:pt idx="8">
                  <c:v>0.53999999999999992</c:v>
                </c:pt>
                <c:pt idx="9">
                  <c:v>0.63</c:v>
                </c:pt>
                <c:pt idx="10">
                  <c:v>0.72</c:v>
                </c:pt>
                <c:pt idx="11">
                  <c:v>0.9</c:v>
                </c:pt>
                <c:pt idx="12">
                  <c:v>1.0799999999999998</c:v>
                </c:pt>
              </c:numCache>
            </c:numRef>
          </c:xVal>
          <c:yVal>
            <c:numRef>
              <c:f>киселинност!$H$16:$H$28</c:f>
              <c:numCache>
                <c:formatCode>General</c:formatCode>
                <c:ptCount val="13"/>
                <c:pt idx="0">
                  <c:v>0.26500000000000001</c:v>
                </c:pt>
                <c:pt idx="1">
                  <c:v>0.19400000000000001</c:v>
                </c:pt>
                <c:pt idx="2">
                  <c:v>0.16400000000000001</c:v>
                </c:pt>
                <c:pt idx="3">
                  <c:v>0.14599999999999999</c:v>
                </c:pt>
                <c:pt idx="4">
                  <c:v>0.14399999999999999</c:v>
                </c:pt>
                <c:pt idx="5">
                  <c:v>0.14599999999999999</c:v>
                </c:pt>
                <c:pt idx="6">
                  <c:v>0.14899999999999999</c:v>
                </c:pt>
                <c:pt idx="7">
                  <c:v>0.151</c:v>
                </c:pt>
                <c:pt idx="8">
                  <c:v>0.151</c:v>
                </c:pt>
                <c:pt idx="9">
                  <c:v>0.157</c:v>
                </c:pt>
                <c:pt idx="10">
                  <c:v>0.16800000000000001</c:v>
                </c:pt>
                <c:pt idx="11">
                  <c:v>0.17799999999999999</c:v>
                </c:pt>
                <c:pt idx="12">
                  <c:v>0.16300000000000001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1516160"/>
        <c:axId val="31518720"/>
      </c:scatterChart>
      <c:valAx>
        <c:axId val="31516160"/>
        <c:scaling>
          <c:orientation val="minMax"/>
          <c:max val="1.2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 sz="800" i="1">
                    <a:latin typeface="Arial" panose="020B0604020202020204" pitchFamily="34" charset="0"/>
                    <a:cs typeface="Arial" panose="020B0604020202020204" pitchFamily="34" charset="0"/>
                  </a:rPr>
                  <a:t>C</a:t>
                </a:r>
                <a:r>
                  <a:rPr lang="en-US" sz="800" i="1" baseline="-25000">
                    <a:latin typeface="Arial" panose="020B0604020202020204" pitchFamily="34" charset="0"/>
                    <a:cs typeface="Arial" panose="020B0604020202020204" pitchFamily="34" charset="0"/>
                  </a:rPr>
                  <a:t>H2SO4</a:t>
                </a:r>
                <a:r>
                  <a:rPr lang="en-GB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, mol L</a:t>
                </a:r>
                <a:r>
                  <a:rPr lang="bg-BG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–</a:t>
                </a:r>
                <a:r>
                  <a:rPr lang="en-GB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1 </a:t>
                </a:r>
                <a:endParaRPr lang="en-GB" sz="600" baseline="300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5917961268354968"/>
              <c:y val="0.8810300429184548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31518720"/>
        <c:crosses val="autoZero"/>
        <c:crossBetween val="midCat"/>
        <c:majorUnit val="0.2"/>
      </c:valAx>
      <c:valAx>
        <c:axId val="31518720"/>
        <c:scaling>
          <c:orientation val="minMax"/>
          <c:max val="0.60000000000000009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</a:rPr>
                  <a:t>Absorbance,</a:t>
                </a:r>
                <a:r>
                  <a:rPr lang="en-GB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a.u</a:t>
                </a:r>
                <a:r>
                  <a:rPr lang="en-GB" baseline="0"/>
                  <a:t>.</a:t>
                </a:r>
                <a:endParaRPr lang="en-GB"/>
              </a:p>
            </c:rich>
          </c:tx>
          <c:layout>
            <c:manualLayout>
              <c:xMode val="edge"/>
              <c:yMode val="edge"/>
              <c:x val="2.7488472724693198E-2"/>
              <c:y val="0.19997386592770328"/>
            </c:manualLayout>
          </c:layout>
          <c:overlay val="0"/>
        </c:title>
        <c:numFmt formatCode="#,##0.00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31516160"/>
        <c:crosses val="autoZero"/>
        <c:crossBetween val="midCat"/>
      </c:val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0.41353834149109742"/>
          <c:y val="5.7224606580829757E-2"/>
          <c:w val="0.51889409094133498"/>
          <c:h val="0.2038058805402361"/>
        </c:manualLayout>
      </c:layout>
      <c:overlay val="0"/>
      <c:txPr>
        <a:bodyPr/>
        <a:lstStyle/>
        <a:p>
          <a:pPr>
            <a:defRPr sz="7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Kirila</dc:creator>
  <cp:lastModifiedBy>Vania</cp:lastModifiedBy>
  <cp:revision>5</cp:revision>
  <dcterms:created xsi:type="dcterms:W3CDTF">2019-09-26T04:54:00Z</dcterms:created>
  <dcterms:modified xsi:type="dcterms:W3CDTF">2019-10-01T06:54:00Z</dcterms:modified>
</cp:coreProperties>
</file>